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E5CD1" w14:textId="0C820A9A" w:rsidR="002B48C8" w:rsidRPr="00172FB8" w:rsidRDefault="002B48C8" w:rsidP="00EF7466">
      <w:pPr>
        <w:spacing w:line="240" w:lineRule="auto"/>
        <w:rPr>
          <w:rFonts w:ascii="Garamond" w:hAnsi="Garamond" w:cs="Times New Roman"/>
          <w:b/>
          <w:bCs/>
          <w:color w:val="FF0000"/>
          <w:sz w:val="18"/>
          <w:szCs w:val="18"/>
        </w:rPr>
      </w:pPr>
      <w:r w:rsidRPr="00172FB8">
        <w:rPr>
          <w:rFonts w:ascii="Garamond" w:hAnsi="Garamond" w:cs="Times New Roman"/>
          <w:b/>
          <w:bCs/>
          <w:color w:val="FF0000"/>
          <w:sz w:val="18"/>
          <w:szCs w:val="18"/>
        </w:rPr>
        <w:t>Venous Thromboembolism</w:t>
      </w:r>
      <w:r w:rsidR="00CE4F2C">
        <w:rPr>
          <w:rFonts w:ascii="Garamond" w:hAnsi="Garamond" w:cs="Times New Roman"/>
          <w:b/>
          <w:bCs/>
          <w:color w:val="FF0000"/>
          <w:sz w:val="18"/>
          <w:szCs w:val="18"/>
        </w:rPr>
        <w:t>/Pulmonary Embolism</w:t>
      </w:r>
      <w:bookmarkStart w:id="0" w:name="_GoBack"/>
      <w:bookmarkEnd w:id="0"/>
    </w:p>
    <w:p w14:paraId="1C450139" w14:textId="43E07422" w:rsidR="002B48C8" w:rsidRPr="00172FB8" w:rsidRDefault="00B269E2" w:rsidP="00EF7466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 w:cs="Times New Roman"/>
          <w:sz w:val="18"/>
          <w:szCs w:val="18"/>
        </w:rPr>
      </w:pPr>
      <w:r>
        <w:rPr>
          <w:rFonts w:ascii="Garamond" w:hAnsi="Garamond" w:cs="Times New Roman"/>
          <w:sz w:val="18"/>
          <w:szCs w:val="18"/>
        </w:rPr>
        <w:t xml:space="preserve">Occurs in </w:t>
      </w:r>
      <w:r w:rsidR="002B48C8" w:rsidRPr="00172FB8">
        <w:rPr>
          <w:rFonts w:ascii="Garamond" w:hAnsi="Garamond" w:cs="Times New Roman"/>
          <w:sz w:val="18"/>
          <w:szCs w:val="18"/>
        </w:rPr>
        <w:t xml:space="preserve">50-75% of patients with SCI </w:t>
      </w:r>
      <w:r w:rsidR="00036E9D">
        <w:rPr>
          <w:rFonts w:ascii="Garamond" w:hAnsi="Garamond" w:cs="Times New Roman"/>
          <w:sz w:val="18"/>
          <w:szCs w:val="18"/>
        </w:rPr>
        <w:t>and</w:t>
      </w:r>
      <w:r w:rsidR="003C1396" w:rsidRPr="00172FB8">
        <w:rPr>
          <w:rFonts w:ascii="Garamond" w:hAnsi="Garamond" w:cs="Times New Roman"/>
          <w:sz w:val="18"/>
          <w:szCs w:val="18"/>
        </w:rPr>
        <w:t xml:space="preserve"> no</w:t>
      </w:r>
      <w:r w:rsidR="002B48C8" w:rsidRPr="00172FB8">
        <w:rPr>
          <w:rFonts w:ascii="Garamond" w:hAnsi="Garamond" w:cs="Times New Roman"/>
          <w:sz w:val="18"/>
          <w:szCs w:val="18"/>
        </w:rPr>
        <w:t xml:space="preserve"> VTE prophylaxis</w:t>
      </w:r>
    </w:p>
    <w:p w14:paraId="2A5991F4" w14:textId="5E133F07" w:rsidR="002B48C8" w:rsidRPr="00172FB8" w:rsidRDefault="002B48C8" w:rsidP="00EF7466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 w:cs="Times New Roman"/>
          <w:sz w:val="18"/>
          <w:szCs w:val="18"/>
        </w:rPr>
      </w:pPr>
      <w:r w:rsidRPr="00172FB8">
        <w:rPr>
          <w:rFonts w:ascii="Garamond" w:hAnsi="Garamond" w:cs="Times New Roman"/>
          <w:sz w:val="18"/>
          <w:szCs w:val="18"/>
        </w:rPr>
        <w:t xml:space="preserve">Highest risk </w:t>
      </w:r>
      <w:r w:rsidRPr="007F5BF8">
        <w:rPr>
          <w:rFonts w:ascii="Garamond" w:hAnsi="Garamond" w:cs="Times New Roman"/>
          <w:b/>
          <w:bCs/>
          <w:color w:val="0070C0"/>
          <w:sz w:val="18"/>
          <w:szCs w:val="18"/>
        </w:rPr>
        <w:t>7-10 days</w:t>
      </w:r>
      <w:r w:rsidRPr="008F4748">
        <w:rPr>
          <w:rFonts w:ascii="Garamond" w:hAnsi="Garamond" w:cs="Times New Roman"/>
          <w:color w:val="0070C0"/>
          <w:sz w:val="18"/>
          <w:szCs w:val="18"/>
        </w:rPr>
        <w:t xml:space="preserve"> </w:t>
      </w:r>
      <w:r w:rsidRPr="00172FB8">
        <w:rPr>
          <w:rFonts w:ascii="Garamond" w:hAnsi="Garamond" w:cs="Times New Roman"/>
          <w:sz w:val="18"/>
          <w:szCs w:val="18"/>
        </w:rPr>
        <w:t>after</w:t>
      </w:r>
      <w:r w:rsidR="00C23637">
        <w:rPr>
          <w:rFonts w:ascii="Garamond" w:hAnsi="Garamond" w:cs="Times New Roman"/>
          <w:sz w:val="18"/>
          <w:szCs w:val="18"/>
        </w:rPr>
        <w:t xml:space="preserve"> acute SCI</w:t>
      </w:r>
      <w:r w:rsidRPr="00172FB8">
        <w:rPr>
          <w:rFonts w:ascii="Garamond" w:hAnsi="Garamond" w:cs="Times New Roman"/>
          <w:sz w:val="18"/>
          <w:szCs w:val="18"/>
        </w:rPr>
        <w:t xml:space="preserve"> injury</w:t>
      </w:r>
    </w:p>
    <w:p w14:paraId="2E5F5C03" w14:textId="15A7B883" w:rsidR="002B48C8" w:rsidRPr="007F5BF8" w:rsidRDefault="002B48C8" w:rsidP="00EF7466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 w:cs="Times New Roman"/>
          <w:b/>
          <w:bCs/>
          <w:color w:val="00B050"/>
          <w:sz w:val="18"/>
          <w:szCs w:val="18"/>
        </w:rPr>
      </w:pPr>
      <w:r w:rsidRPr="007F5BF8">
        <w:rPr>
          <w:rFonts w:ascii="Garamond" w:hAnsi="Garamond" w:cs="Times New Roman"/>
          <w:b/>
          <w:bCs/>
          <w:color w:val="00B050"/>
          <w:sz w:val="18"/>
          <w:szCs w:val="18"/>
        </w:rPr>
        <w:t>Treatment</w:t>
      </w:r>
    </w:p>
    <w:p w14:paraId="628D6E78" w14:textId="34019536" w:rsidR="00172FB8" w:rsidRPr="007F5BF8" w:rsidRDefault="00172FB8" w:rsidP="00EF7466">
      <w:pPr>
        <w:pStyle w:val="ListParagraph"/>
        <w:numPr>
          <w:ilvl w:val="1"/>
          <w:numId w:val="1"/>
        </w:numPr>
        <w:spacing w:line="240" w:lineRule="auto"/>
        <w:rPr>
          <w:rFonts w:ascii="Garamond" w:hAnsi="Garamond" w:cs="Times New Roman"/>
          <w:b/>
          <w:bCs/>
          <w:sz w:val="18"/>
          <w:szCs w:val="18"/>
        </w:rPr>
      </w:pPr>
      <w:r w:rsidRPr="007F5BF8">
        <w:rPr>
          <w:rFonts w:ascii="Garamond" w:hAnsi="Garamond" w:cs="Times New Roman"/>
          <w:b/>
          <w:bCs/>
          <w:color w:val="0070C0"/>
          <w:sz w:val="18"/>
          <w:szCs w:val="18"/>
        </w:rPr>
        <w:t>8 weeks</w:t>
      </w:r>
      <w:r>
        <w:rPr>
          <w:rFonts w:ascii="Garamond" w:hAnsi="Garamond" w:cs="Times New Roman"/>
          <w:sz w:val="18"/>
          <w:szCs w:val="18"/>
        </w:rPr>
        <w:t xml:space="preserve"> with low-molecular-weight heparin recommended for </w:t>
      </w:r>
      <w:r w:rsidR="00C23637" w:rsidRPr="007F5BF8">
        <w:rPr>
          <w:rFonts w:ascii="Garamond" w:hAnsi="Garamond" w:cs="Times New Roman"/>
          <w:b/>
          <w:bCs/>
          <w:color w:val="0070C0"/>
          <w:sz w:val="18"/>
          <w:szCs w:val="18"/>
        </w:rPr>
        <w:t>DVT</w:t>
      </w:r>
      <w:r w:rsidRPr="007F5BF8">
        <w:rPr>
          <w:rFonts w:ascii="Garamond" w:hAnsi="Garamond" w:cs="Times New Roman"/>
          <w:b/>
          <w:bCs/>
          <w:color w:val="0070C0"/>
          <w:sz w:val="18"/>
          <w:szCs w:val="18"/>
        </w:rPr>
        <w:t xml:space="preserve"> prophylaxis </w:t>
      </w:r>
      <w:r w:rsidR="00C23637" w:rsidRPr="007F5BF8">
        <w:rPr>
          <w:rFonts w:ascii="Garamond" w:hAnsi="Garamond" w:cs="Times New Roman"/>
          <w:b/>
          <w:bCs/>
          <w:color w:val="0070C0"/>
          <w:sz w:val="18"/>
          <w:szCs w:val="18"/>
        </w:rPr>
        <w:t>after</w:t>
      </w:r>
      <w:r w:rsidRPr="007F5BF8">
        <w:rPr>
          <w:rFonts w:ascii="Garamond" w:hAnsi="Garamond" w:cs="Times New Roman"/>
          <w:b/>
          <w:bCs/>
          <w:color w:val="0070C0"/>
          <w:sz w:val="18"/>
          <w:szCs w:val="18"/>
        </w:rPr>
        <w:t xml:space="preserve"> acute SCI</w:t>
      </w:r>
    </w:p>
    <w:p w14:paraId="5E16354B" w14:textId="5D71671B" w:rsidR="002B48C8" w:rsidRPr="00172FB8" w:rsidRDefault="002B48C8" w:rsidP="00EF7466">
      <w:pPr>
        <w:pStyle w:val="ListParagraph"/>
        <w:numPr>
          <w:ilvl w:val="1"/>
          <w:numId w:val="1"/>
        </w:numPr>
        <w:spacing w:line="240" w:lineRule="auto"/>
        <w:rPr>
          <w:rFonts w:ascii="Garamond" w:hAnsi="Garamond" w:cs="Times New Roman"/>
          <w:sz w:val="18"/>
          <w:szCs w:val="18"/>
        </w:rPr>
      </w:pPr>
      <w:r w:rsidRPr="00172FB8">
        <w:rPr>
          <w:rFonts w:ascii="Garamond" w:hAnsi="Garamond" w:cs="Times New Roman"/>
          <w:sz w:val="18"/>
          <w:szCs w:val="18"/>
        </w:rPr>
        <w:t xml:space="preserve">Anticoagulation for six months after </w:t>
      </w:r>
      <w:r w:rsidR="006A7948" w:rsidRPr="00172FB8">
        <w:rPr>
          <w:rFonts w:ascii="Garamond" w:hAnsi="Garamond" w:cs="Times New Roman"/>
          <w:sz w:val="18"/>
          <w:szCs w:val="18"/>
        </w:rPr>
        <w:t xml:space="preserve">the </w:t>
      </w:r>
      <w:r w:rsidRPr="00172FB8">
        <w:rPr>
          <w:rFonts w:ascii="Garamond" w:hAnsi="Garamond" w:cs="Times New Roman"/>
          <w:sz w:val="18"/>
          <w:szCs w:val="18"/>
        </w:rPr>
        <w:t>first DVT/PE</w:t>
      </w:r>
    </w:p>
    <w:p w14:paraId="0928B4E0" w14:textId="2D5E7CB4" w:rsidR="002B48C8" w:rsidRPr="00172FB8" w:rsidRDefault="002B48C8" w:rsidP="00EF7466">
      <w:pPr>
        <w:pStyle w:val="ListParagraph"/>
        <w:numPr>
          <w:ilvl w:val="1"/>
          <w:numId w:val="1"/>
        </w:numPr>
        <w:spacing w:line="240" w:lineRule="auto"/>
        <w:rPr>
          <w:rFonts w:ascii="Garamond" w:hAnsi="Garamond" w:cs="Times New Roman"/>
          <w:sz w:val="18"/>
          <w:szCs w:val="18"/>
        </w:rPr>
      </w:pPr>
      <w:r w:rsidRPr="00172FB8">
        <w:rPr>
          <w:rFonts w:ascii="Garamond" w:hAnsi="Garamond" w:cs="Times New Roman"/>
          <w:sz w:val="18"/>
          <w:szCs w:val="18"/>
        </w:rPr>
        <w:t xml:space="preserve">Indefinite anticoagulation if there is </w:t>
      </w:r>
      <w:r w:rsidR="006A7948" w:rsidRPr="00172FB8">
        <w:rPr>
          <w:rFonts w:ascii="Garamond" w:hAnsi="Garamond" w:cs="Times New Roman"/>
          <w:sz w:val="18"/>
          <w:szCs w:val="18"/>
        </w:rPr>
        <w:t xml:space="preserve">a </w:t>
      </w:r>
      <w:r w:rsidRPr="00172FB8">
        <w:rPr>
          <w:rFonts w:ascii="Garamond" w:hAnsi="Garamond" w:cs="Times New Roman"/>
          <w:sz w:val="18"/>
          <w:szCs w:val="18"/>
        </w:rPr>
        <w:t>recurrence of DVT/PE</w:t>
      </w:r>
    </w:p>
    <w:p w14:paraId="0E5A22EF" w14:textId="2FB4B23D" w:rsidR="002B48C8" w:rsidRPr="00172FB8" w:rsidRDefault="002B48C8" w:rsidP="00EF7466">
      <w:pPr>
        <w:pStyle w:val="ListParagraph"/>
        <w:numPr>
          <w:ilvl w:val="1"/>
          <w:numId w:val="1"/>
        </w:numPr>
        <w:spacing w:line="240" w:lineRule="auto"/>
        <w:rPr>
          <w:rFonts w:ascii="Garamond" w:hAnsi="Garamond" w:cs="Times New Roman"/>
          <w:sz w:val="18"/>
          <w:szCs w:val="18"/>
        </w:rPr>
      </w:pPr>
      <w:r w:rsidRPr="00172FB8">
        <w:rPr>
          <w:rFonts w:ascii="Garamond" w:hAnsi="Garamond" w:cs="Times New Roman"/>
          <w:sz w:val="18"/>
          <w:szCs w:val="18"/>
        </w:rPr>
        <w:t>IVC filter recommended for patients who d</w:t>
      </w:r>
      <w:r w:rsidR="00822090" w:rsidRPr="00172FB8">
        <w:rPr>
          <w:rFonts w:ascii="Garamond" w:hAnsi="Garamond" w:cs="Times New Roman"/>
          <w:sz w:val="18"/>
          <w:szCs w:val="18"/>
        </w:rPr>
        <w:t xml:space="preserve">evelop DVT/PE while on anticoagulation or have </w:t>
      </w:r>
      <w:r w:rsidR="00B269E2">
        <w:rPr>
          <w:rFonts w:ascii="Garamond" w:hAnsi="Garamond" w:cs="Times New Roman"/>
          <w:sz w:val="18"/>
          <w:szCs w:val="18"/>
        </w:rPr>
        <w:t>VTE</w:t>
      </w:r>
      <w:r w:rsidR="00822090" w:rsidRPr="00172FB8">
        <w:rPr>
          <w:rFonts w:ascii="Garamond" w:hAnsi="Garamond" w:cs="Times New Roman"/>
          <w:sz w:val="18"/>
          <w:szCs w:val="18"/>
        </w:rPr>
        <w:t xml:space="preserve"> within IVC/Iliac veins.</w:t>
      </w:r>
    </w:p>
    <w:p w14:paraId="5067106F" w14:textId="2AC30832" w:rsidR="00822090" w:rsidRPr="00172FB8" w:rsidRDefault="00822090" w:rsidP="00EF7466">
      <w:pPr>
        <w:spacing w:line="240" w:lineRule="auto"/>
        <w:rPr>
          <w:rFonts w:ascii="Garamond" w:hAnsi="Garamond" w:cs="Times New Roman"/>
          <w:b/>
          <w:bCs/>
          <w:color w:val="FF0000"/>
          <w:sz w:val="18"/>
          <w:szCs w:val="18"/>
        </w:rPr>
      </w:pPr>
      <w:r w:rsidRPr="00172FB8">
        <w:rPr>
          <w:rFonts w:ascii="Garamond" w:hAnsi="Garamond" w:cs="Times New Roman"/>
          <w:b/>
          <w:bCs/>
          <w:color w:val="FF0000"/>
          <w:sz w:val="18"/>
          <w:szCs w:val="18"/>
        </w:rPr>
        <w:t xml:space="preserve">Heterotopic </w:t>
      </w:r>
      <w:r w:rsidR="00DC2E54">
        <w:rPr>
          <w:rFonts w:ascii="Garamond" w:hAnsi="Garamond" w:cs="Times New Roman"/>
          <w:b/>
          <w:bCs/>
          <w:color w:val="FF0000"/>
          <w:sz w:val="18"/>
          <w:szCs w:val="18"/>
        </w:rPr>
        <w:t>O</w:t>
      </w:r>
      <w:r w:rsidRPr="00172FB8">
        <w:rPr>
          <w:rFonts w:ascii="Garamond" w:hAnsi="Garamond" w:cs="Times New Roman"/>
          <w:b/>
          <w:bCs/>
          <w:color w:val="FF0000"/>
          <w:sz w:val="18"/>
          <w:szCs w:val="18"/>
        </w:rPr>
        <w:t>ssification</w:t>
      </w:r>
    </w:p>
    <w:p w14:paraId="11A9AF81" w14:textId="01EBDF78" w:rsidR="00822090" w:rsidRPr="00172FB8" w:rsidRDefault="00822090" w:rsidP="00EF7466">
      <w:pPr>
        <w:pStyle w:val="ListParagraph"/>
        <w:numPr>
          <w:ilvl w:val="0"/>
          <w:numId w:val="2"/>
        </w:numPr>
        <w:spacing w:line="240" w:lineRule="auto"/>
        <w:rPr>
          <w:rFonts w:ascii="Garamond" w:hAnsi="Garamond" w:cs="Times New Roman"/>
          <w:sz w:val="18"/>
          <w:szCs w:val="18"/>
        </w:rPr>
      </w:pPr>
      <w:r w:rsidRPr="00172FB8">
        <w:rPr>
          <w:rFonts w:ascii="Garamond" w:hAnsi="Garamond" w:cs="Times New Roman"/>
          <w:sz w:val="18"/>
          <w:szCs w:val="18"/>
        </w:rPr>
        <w:t xml:space="preserve">Most likely to develop within </w:t>
      </w:r>
      <w:r w:rsidRPr="00C23637">
        <w:rPr>
          <w:rFonts w:ascii="Garamond" w:hAnsi="Garamond" w:cs="Times New Roman"/>
          <w:b/>
          <w:bCs/>
          <w:color w:val="000000" w:themeColor="text1"/>
          <w:sz w:val="18"/>
          <w:szCs w:val="18"/>
        </w:rPr>
        <w:t>first 1 to 3 months</w:t>
      </w:r>
      <w:r w:rsidRPr="00C23637">
        <w:rPr>
          <w:rFonts w:ascii="Garamond" w:hAnsi="Garamond" w:cs="Times New Roman"/>
          <w:color w:val="000000" w:themeColor="text1"/>
          <w:sz w:val="18"/>
          <w:szCs w:val="18"/>
        </w:rPr>
        <w:t xml:space="preserve"> </w:t>
      </w:r>
      <w:r w:rsidRPr="00172FB8">
        <w:rPr>
          <w:rFonts w:ascii="Garamond" w:hAnsi="Garamond" w:cs="Times New Roman"/>
          <w:sz w:val="18"/>
          <w:szCs w:val="18"/>
        </w:rPr>
        <w:t>after</w:t>
      </w:r>
      <w:r w:rsidR="00B269E2">
        <w:rPr>
          <w:rFonts w:ascii="Garamond" w:hAnsi="Garamond" w:cs="Times New Roman"/>
          <w:sz w:val="18"/>
          <w:szCs w:val="18"/>
        </w:rPr>
        <w:t xml:space="preserve"> SCI</w:t>
      </w:r>
    </w:p>
    <w:p w14:paraId="162B0F60" w14:textId="4791779E" w:rsidR="00822090" w:rsidRPr="00172FB8" w:rsidRDefault="00822090" w:rsidP="00EF7466">
      <w:pPr>
        <w:pStyle w:val="ListParagraph"/>
        <w:numPr>
          <w:ilvl w:val="0"/>
          <w:numId w:val="2"/>
        </w:numPr>
        <w:spacing w:line="240" w:lineRule="auto"/>
        <w:rPr>
          <w:rFonts w:ascii="Garamond" w:hAnsi="Garamond" w:cs="Times New Roman"/>
          <w:sz w:val="18"/>
          <w:szCs w:val="18"/>
        </w:rPr>
      </w:pPr>
      <w:r w:rsidRPr="00172FB8">
        <w:rPr>
          <w:rFonts w:ascii="Garamond" w:hAnsi="Garamond" w:cs="Times New Roman"/>
          <w:sz w:val="18"/>
          <w:szCs w:val="18"/>
        </w:rPr>
        <w:t xml:space="preserve">Most common in </w:t>
      </w:r>
      <w:r w:rsidRPr="007F5BF8">
        <w:rPr>
          <w:rFonts w:ascii="Garamond" w:hAnsi="Garamond" w:cs="Times New Roman"/>
          <w:b/>
          <w:bCs/>
          <w:color w:val="0070C0"/>
          <w:sz w:val="18"/>
          <w:szCs w:val="18"/>
        </w:rPr>
        <w:t>hip</w:t>
      </w:r>
      <w:r w:rsidRPr="00172FB8">
        <w:rPr>
          <w:rFonts w:ascii="Garamond" w:hAnsi="Garamond" w:cs="Times New Roman"/>
          <w:sz w:val="18"/>
          <w:szCs w:val="18"/>
        </w:rPr>
        <w:t>, knee, shoulder, and elbow</w:t>
      </w:r>
    </w:p>
    <w:p w14:paraId="41F7F586" w14:textId="206648F5" w:rsidR="00822090" w:rsidRPr="007F5BF8" w:rsidRDefault="00822090" w:rsidP="00EF7466">
      <w:pPr>
        <w:pStyle w:val="ListParagraph"/>
        <w:numPr>
          <w:ilvl w:val="1"/>
          <w:numId w:val="2"/>
        </w:numPr>
        <w:spacing w:line="240" w:lineRule="auto"/>
        <w:rPr>
          <w:rFonts w:ascii="Garamond" w:hAnsi="Garamond" w:cs="Times New Roman"/>
          <w:b/>
          <w:bCs/>
          <w:color w:val="00B050"/>
          <w:sz w:val="18"/>
          <w:szCs w:val="18"/>
        </w:rPr>
      </w:pPr>
      <w:r w:rsidRPr="007F5BF8">
        <w:rPr>
          <w:rFonts w:ascii="Garamond" w:hAnsi="Garamond" w:cs="Times New Roman"/>
          <w:b/>
          <w:bCs/>
          <w:color w:val="00B050"/>
          <w:sz w:val="18"/>
          <w:szCs w:val="18"/>
        </w:rPr>
        <w:t>Common signs</w:t>
      </w:r>
    </w:p>
    <w:p w14:paraId="021F127E" w14:textId="590F1AF2" w:rsidR="00822090" w:rsidRPr="00172FB8" w:rsidRDefault="00822090" w:rsidP="00EF7466">
      <w:pPr>
        <w:pStyle w:val="ListParagraph"/>
        <w:numPr>
          <w:ilvl w:val="2"/>
          <w:numId w:val="2"/>
        </w:numPr>
        <w:spacing w:line="240" w:lineRule="auto"/>
        <w:rPr>
          <w:rFonts w:ascii="Garamond" w:hAnsi="Garamond" w:cs="Times New Roman"/>
          <w:sz w:val="18"/>
          <w:szCs w:val="18"/>
        </w:rPr>
      </w:pPr>
      <w:r w:rsidRPr="00172FB8">
        <w:rPr>
          <w:rFonts w:ascii="Garamond" w:hAnsi="Garamond" w:cs="Times New Roman"/>
          <w:sz w:val="18"/>
          <w:szCs w:val="18"/>
        </w:rPr>
        <w:t>Pain, warmth, and swelling adjacent to a joint</w:t>
      </w:r>
    </w:p>
    <w:p w14:paraId="3FF7E9CD" w14:textId="691E4258" w:rsidR="00822090" w:rsidRPr="00172FB8" w:rsidRDefault="00822090" w:rsidP="00EF7466">
      <w:pPr>
        <w:pStyle w:val="ListParagraph"/>
        <w:numPr>
          <w:ilvl w:val="2"/>
          <w:numId w:val="2"/>
        </w:numPr>
        <w:spacing w:line="240" w:lineRule="auto"/>
        <w:rPr>
          <w:rFonts w:ascii="Garamond" w:hAnsi="Garamond" w:cs="Times New Roman"/>
          <w:sz w:val="18"/>
          <w:szCs w:val="18"/>
        </w:rPr>
      </w:pPr>
      <w:r w:rsidRPr="00172FB8">
        <w:rPr>
          <w:rFonts w:ascii="Garamond" w:hAnsi="Garamond" w:cs="Times New Roman"/>
          <w:sz w:val="18"/>
          <w:szCs w:val="18"/>
        </w:rPr>
        <w:t>Edema of the affected limb</w:t>
      </w:r>
    </w:p>
    <w:p w14:paraId="706FB6FA" w14:textId="3F4F41A2" w:rsidR="00822090" w:rsidRPr="00172FB8" w:rsidRDefault="00822090" w:rsidP="00EF7466">
      <w:pPr>
        <w:pStyle w:val="ListParagraph"/>
        <w:numPr>
          <w:ilvl w:val="2"/>
          <w:numId w:val="2"/>
        </w:numPr>
        <w:spacing w:line="240" w:lineRule="auto"/>
        <w:rPr>
          <w:rFonts w:ascii="Garamond" w:hAnsi="Garamond" w:cs="Times New Roman"/>
          <w:sz w:val="18"/>
          <w:szCs w:val="18"/>
        </w:rPr>
      </w:pPr>
      <w:r w:rsidRPr="00172FB8">
        <w:rPr>
          <w:rFonts w:ascii="Garamond" w:hAnsi="Garamond" w:cs="Times New Roman"/>
          <w:sz w:val="18"/>
          <w:szCs w:val="18"/>
        </w:rPr>
        <w:t>Fever</w:t>
      </w:r>
    </w:p>
    <w:p w14:paraId="2EA1433F" w14:textId="0ACDC44C" w:rsidR="00822090" w:rsidRPr="00C23637" w:rsidRDefault="00822090" w:rsidP="00EF7466">
      <w:pPr>
        <w:pStyle w:val="ListParagraph"/>
        <w:numPr>
          <w:ilvl w:val="2"/>
          <w:numId w:val="2"/>
        </w:numPr>
        <w:spacing w:line="240" w:lineRule="auto"/>
        <w:rPr>
          <w:rFonts w:ascii="Garamond" w:hAnsi="Garamond" w:cs="Times New Roman"/>
          <w:b/>
          <w:bCs/>
          <w:color w:val="000000" w:themeColor="text1"/>
          <w:sz w:val="18"/>
          <w:szCs w:val="18"/>
        </w:rPr>
      </w:pPr>
      <w:r w:rsidRPr="00C23637">
        <w:rPr>
          <w:rFonts w:ascii="Garamond" w:hAnsi="Garamond" w:cs="Times New Roman"/>
          <w:b/>
          <w:bCs/>
          <w:color w:val="000000" w:themeColor="text1"/>
          <w:sz w:val="18"/>
          <w:szCs w:val="18"/>
        </w:rPr>
        <w:t>Reduced range of motion of a joint</w:t>
      </w:r>
    </w:p>
    <w:p w14:paraId="19744524" w14:textId="3C8C5275" w:rsidR="00822090" w:rsidRPr="007F5BF8" w:rsidRDefault="00822090" w:rsidP="00EF7466">
      <w:pPr>
        <w:pStyle w:val="ListParagraph"/>
        <w:numPr>
          <w:ilvl w:val="1"/>
          <w:numId w:val="2"/>
        </w:numPr>
        <w:spacing w:line="240" w:lineRule="auto"/>
        <w:rPr>
          <w:rFonts w:ascii="Garamond" w:hAnsi="Garamond" w:cs="Times New Roman"/>
          <w:b/>
          <w:bCs/>
          <w:color w:val="00B050"/>
          <w:sz w:val="18"/>
          <w:szCs w:val="18"/>
        </w:rPr>
      </w:pPr>
      <w:r w:rsidRPr="007F5BF8">
        <w:rPr>
          <w:rFonts w:ascii="Garamond" w:hAnsi="Garamond" w:cs="Times New Roman"/>
          <w:b/>
          <w:bCs/>
          <w:color w:val="00B050"/>
          <w:sz w:val="18"/>
          <w:szCs w:val="18"/>
        </w:rPr>
        <w:t>Diagnostic findings</w:t>
      </w:r>
    </w:p>
    <w:p w14:paraId="026B560A" w14:textId="6CA193CC" w:rsidR="00822090" w:rsidRPr="00172FB8" w:rsidRDefault="00822090" w:rsidP="00EF7466">
      <w:pPr>
        <w:pStyle w:val="ListParagraph"/>
        <w:numPr>
          <w:ilvl w:val="2"/>
          <w:numId w:val="2"/>
        </w:numPr>
        <w:spacing w:line="240" w:lineRule="auto"/>
        <w:rPr>
          <w:rFonts w:ascii="Garamond" w:hAnsi="Garamond" w:cs="Times New Roman"/>
          <w:sz w:val="18"/>
          <w:szCs w:val="18"/>
        </w:rPr>
      </w:pPr>
      <w:r w:rsidRPr="00172FB8">
        <w:rPr>
          <w:rFonts w:ascii="Garamond" w:hAnsi="Garamond" w:cs="Times New Roman"/>
          <w:sz w:val="18"/>
          <w:szCs w:val="18"/>
        </w:rPr>
        <w:t>Serum Alkaline phosphatase may elevate acutely</w:t>
      </w:r>
    </w:p>
    <w:p w14:paraId="2EE8D2AE" w14:textId="0597B6F4" w:rsidR="00822090" w:rsidRPr="00172FB8" w:rsidRDefault="00822090" w:rsidP="00EF7466">
      <w:pPr>
        <w:pStyle w:val="ListParagraph"/>
        <w:numPr>
          <w:ilvl w:val="2"/>
          <w:numId w:val="2"/>
        </w:numPr>
        <w:spacing w:line="240" w:lineRule="auto"/>
        <w:rPr>
          <w:rFonts w:ascii="Garamond" w:hAnsi="Garamond" w:cs="Times New Roman"/>
          <w:sz w:val="18"/>
          <w:szCs w:val="18"/>
        </w:rPr>
      </w:pPr>
      <w:r w:rsidRPr="00C23637">
        <w:rPr>
          <w:rFonts w:ascii="Garamond" w:hAnsi="Garamond" w:cs="Times New Roman"/>
          <w:b/>
          <w:bCs/>
          <w:color w:val="000000" w:themeColor="text1"/>
          <w:sz w:val="18"/>
          <w:szCs w:val="18"/>
        </w:rPr>
        <w:t xml:space="preserve">Plain radiograph </w:t>
      </w:r>
      <w:r w:rsidR="00886017">
        <w:rPr>
          <w:rFonts w:ascii="Garamond" w:hAnsi="Garamond" w:cs="Times New Roman"/>
          <w:b/>
          <w:bCs/>
          <w:color w:val="000000" w:themeColor="text1"/>
          <w:sz w:val="18"/>
          <w:szCs w:val="18"/>
        </w:rPr>
        <w:t xml:space="preserve">is </w:t>
      </w:r>
      <w:r w:rsidRPr="00C23637">
        <w:rPr>
          <w:rFonts w:ascii="Garamond" w:hAnsi="Garamond" w:cs="Times New Roman"/>
          <w:b/>
          <w:bCs/>
          <w:color w:val="000000" w:themeColor="text1"/>
          <w:sz w:val="18"/>
          <w:szCs w:val="18"/>
        </w:rPr>
        <w:t xml:space="preserve">normal </w:t>
      </w:r>
      <w:r w:rsidR="00407EE7" w:rsidRPr="00C23637">
        <w:rPr>
          <w:rFonts w:ascii="Garamond" w:hAnsi="Garamond" w:cs="Times New Roman"/>
          <w:b/>
          <w:bCs/>
          <w:color w:val="000000" w:themeColor="text1"/>
          <w:sz w:val="18"/>
          <w:szCs w:val="18"/>
        </w:rPr>
        <w:t xml:space="preserve">acutely </w:t>
      </w:r>
      <w:r w:rsidRPr="00172FB8">
        <w:rPr>
          <w:rFonts w:ascii="Garamond" w:hAnsi="Garamond" w:cs="Times New Roman"/>
          <w:sz w:val="18"/>
          <w:szCs w:val="18"/>
        </w:rPr>
        <w:t>due to lack of calcium deposition</w:t>
      </w:r>
    </w:p>
    <w:p w14:paraId="5BA76E51" w14:textId="0EDACF1E" w:rsidR="00822090" w:rsidRPr="00172FB8" w:rsidRDefault="00407EE7" w:rsidP="00EF7466">
      <w:pPr>
        <w:pStyle w:val="ListParagraph"/>
        <w:numPr>
          <w:ilvl w:val="2"/>
          <w:numId w:val="2"/>
        </w:numPr>
        <w:spacing w:line="240" w:lineRule="auto"/>
        <w:rPr>
          <w:rFonts w:ascii="Garamond" w:hAnsi="Garamond" w:cs="Times New Roman"/>
          <w:b/>
          <w:bCs/>
          <w:sz w:val="18"/>
          <w:szCs w:val="18"/>
        </w:rPr>
      </w:pPr>
      <w:r w:rsidRPr="00C23637">
        <w:rPr>
          <w:rFonts w:ascii="Garamond" w:hAnsi="Garamond" w:cs="Times New Roman"/>
          <w:b/>
          <w:bCs/>
          <w:color w:val="000000" w:themeColor="text1"/>
          <w:sz w:val="18"/>
          <w:szCs w:val="18"/>
        </w:rPr>
        <w:t xml:space="preserve">Triple Phase </w:t>
      </w:r>
      <w:r w:rsidR="00822090" w:rsidRPr="00C23637">
        <w:rPr>
          <w:rFonts w:ascii="Garamond" w:hAnsi="Garamond" w:cs="Times New Roman"/>
          <w:b/>
          <w:bCs/>
          <w:color w:val="000000" w:themeColor="text1"/>
          <w:sz w:val="18"/>
          <w:szCs w:val="18"/>
        </w:rPr>
        <w:t xml:space="preserve">Bone scan/MRI </w:t>
      </w:r>
      <w:r w:rsidR="00822090" w:rsidRPr="00DC2E54">
        <w:rPr>
          <w:rFonts w:ascii="Garamond" w:hAnsi="Garamond" w:cs="Times New Roman"/>
          <w:sz w:val="18"/>
          <w:szCs w:val="18"/>
        </w:rPr>
        <w:t xml:space="preserve">can show HO in </w:t>
      </w:r>
      <w:r w:rsidR="006A7948" w:rsidRPr="00DC2E54">
        <w:rPr>
          <w:rFonts w:ascii="Garamond" w:hAnsi="Garamond" w:cs="Times New Roman"/>
          <w:sz w:val="18"/>
          <w:szCs w:val="18"/>
        </w:rPr>
        <w:t>an</w:t>
      </w:r>
      <w:r w:rsidR="006A7948" w:rsidRPr="00172FB8">
        <w:rPr>
          <w:rFonts w:ascii="Garamond" w:hAnsi="Garamond" w:cs="Times New Roman"/>
          <w:b/>
          <w:bCs/>
          <w:sz w:val="18"/>
          <w:szCs w:val="18"/>
        </w:rPr>
        <w:t xml:space="preserve"> </w:t>
      </w:r>
      <w:r w:rsidR="00822090" w:rsidRPr="00C23637">
        <w:rPr>
          <w:rFonts w:ascii="Garamond" w:hAnsi="Garamond" w:cs="Times New Roman"/>
          <w:color w:val="000000" w:themeColor="text1"/>
          <w:sz w:val="18"/>
          <w:szCs w:val="18"/>
        </w:rPr>
        <w:t>acute setting</w:t>
      </w:r>
    </w:p>
    <w:p w14:paraId="5AE8D07B" w14:textId="61AC00B2" w:rsidR="00822090" w:rsidRPr="007F5BF8" w:rsidRDefault="00822090" w:rsidP="00EF7466">
      <w:pPr>
        <w:pStyle w:val="ListParagraph"/>
        <w:numPr>
          <w:ilvl w:val="1"/>
          <w:numId w:val="2"/>
        </w:numPr>
        <w:spacing w:line="240" w:lineRule="auto"/>
        <w:rPr>
          <w:rFonts w:ascii="Garamond" w:hAnsi="Garamond" w:cs="Times New Roman"/>
          <w:b/>
          <w:bCs/>
          <w:color w:val="00B050"/>
          <w:sz w:val="18"/>
          <w:szCs w:val="18"/>
        </w:rPr>
      </w:pPr>
      <w:r w:rsidRPr="007F5BF8">
        <w:rPr>
          <w:rFonts w:ascii="Garamond" w:hAnsi="Garamond" w:cs="Times New Roman"/>
          <w:b/>
          <w:bCs/>
          <w:color w:val="00B050"/>
          <w:sz w:val="18"/>
          <w:szCs w:val="18"/>
        </w:rPr>
        <w:t>Treatment</w:t>
      </w:r>
    </w:p>
    <w:p w14:paraId="05F54BCD" w14:textId="340EDC34" w:rsidR="00822090" w:rsidRPr="00172FB8" w:rsidRDefault="00822090" w:rsidP="00EF7466">
      <w:pPr>
        <w:pStyle w:val="ListParagraph"/>
        <w:numPr>
          <w:ilvl w:val="2"/>
          <w:numId w:val="2"/>
        </w:numPr>
        <w:spacing w:line="240" w:lineRule="auto"/>
        <w:rPr>
          <w:rFonts w:ascii="Garamond" w:hAnsi="Garamond" w:cs="Times New Roman"/>
          <w:sz w:val="18"/>
          <w:szCs w:val="18"/>
        </w:rPr>
      </w:pPr>
      <w:r w:rsidRPr="00172FB8">
        <w:rPr>
          <w:rFonts w:ascii="Garamond" w:hAnsi="Garamond" w:cs="Times New Roman"/>
          <w:sz w:val="18"/>
          <w:szCs w:val="18"/>
        </w:rPr>
        <w:t>Gentle range of motion exercises</w:t>
      </w:r>
    </w:p>
    <w:p w14:paraId="7B0C2AA6" w14:textId="2F5EE5FF" w:rsidR="00822090" w:rsidRPr="00172FB8" w:rsidRDefault="00822090" w:rsidP="00EF7466">
      <w:pPr>
        <w:pStyle w:val="ListParagraph"/>
        <w:numPr>
          <w:ilvl w:val="2"/>
          <w:numId w:val="2"/>
        </w:numPr>
        <w:spacing w:line="240" w:lineRule="auto"/>
        <w:rPr>
          <w:rFonts w:ascii="Garamond" w:hAnsi="Garamond" w:cs="Times New Roman"/>
          <w:sz w:val="18"/>
          <w:szCs w:val="18"/>
        </w:rPr>
      </w:pPr>
      <w:r w:rsidRPr="00172FB8">
        <w:rPr>
          <w:rFonts w:ascii="Garamond" w:hAnsi="Garamond" w:cs="Times New Roman"/>
          <w:sz w:val="18"/>
          <w:szCs w:val="18"/>
        </w:rPr>
        <w:t>Etidronate</w:t>
      </w:r>
    </w:p>
    <w:p w14:paraId="2CE973A2" w14:textId="29B5564D" w:rsidR="00822090" w:rsidRPr="00172FB8" w:rsidRDefault="00822090" w:rsidP="00EF7466">
      <w:pPr>
        <w:pStyle w:val="ListParagraph"/>
        <w:numPr>
          <w:ilvl w:val="2"/>
          <w:numId w:val="2"/>
        </w:numPr>
        <w:spacing w:line="240" w:lineRule="auto"/>
        <w:rPr>
          <w:rFonts w:ascii="Garamond" w:hAnsi="Garamond" w:cs="Times New Roman"/>
          <w:sz w:val="18"/>
          <w:szCs w:val="18"/>
        </w:rPr>
      </w:pPr>
      <w:r w:rsidRPr="00172FB8">
        <w:rPr>
          <w:rFonts w:ascii="Garamond" w:hAnsi="Garamond" w:cs="Times New Roman"/>
          <w:sz w:val="18"/>
          <w:szCs w:val="18"/>
        </w:rPr>
        <w:t>Radiation therapy</w:t>
      </w:r>
    </w:p>
    <w:p w14:paraId="0D14D2C6" w14:textId="680B24E7" w:rsidR="00822090" w:rsidRPr="00172FB8" w:rsidRDefault="00822090" w:rsidP="00EF7466">
      <w:pPr>
        <w:pStyle w:val="ListParagraph"/>
        <w:numPr>
          <w:ilvl w:val="2"/>
          <w:numId w:val="2"/>
        </w:numPr>
        <w:spacing w:line="240" w:lineRule="auto"/>
        <w:rPr>
          <w:rFonts w:ascii="Garamond" w:hAnsi="Garamond" w:cs="Times New Roman"/>
          <w:sz w:val="18"/>
          <w:szCs w:val="18"/>
        </w:rPr>
      </w:pPr>
      <w:r w:rsidRPr="00172FB8">
        <w:rPr>
          <w:rFonts w:ascii="Garamond" w:hAnsi="Garamond" w:cs="Times New Roman"/>
          <w:sz w:val="18"/>
          <w:szCs w:val="18"/>
        </w:rPr>
        <w:t>Surgical resection if HO interferes with self-care</w:t>
      </w:r>
      <w:r w:rsidR="00F11F5F">
        <w:rPr>
          <w:rFonts w:ascii="Garamond" w:hAnsi="Garamond" w:cs="Times New Roman"/>
          <w:sz w:val="18"/>
          <w:szCs w:val="18"/>
        </w:rPr>
        <w:t xml:space="preserve"> (</w:t>
      </w:r>
      <w:r w:rsidRPr="00172FB8">
        <w:rPr>
          <w:rFonts w:ascii="Garamond" w:hAnsi="Garamond" w:cs="Times New Roman"/>
          <w:sz w:val="18"/>
          <w:szCs w:val="18"/>
        </w:rPr>
        <w:t>sitting in a wheelchair</w:t>
      </w:r>
      <w:r w:rsidR="00F11F5F">
        <w:rPr>
          <w:rFonts w:ascii="Garamond" w:hAnsi="Garamond" w:cs="Times New Roman"/>
          <w:sz w:val="18"/>
          <w:szCs w:val="18"/>
        </w:rPr>
        <w:t>),</w:t>
      </w:r>
      <w:r w:rsidRPr="00172FB8">
        <w:rPr>
          <w:rFonts w:ascii="Garamond" w:hAnsi="Garamond" w:cs="Times New Roman"/>
          <w:sz w:val="18"/>
          <w:szCs w:val="18"/>
        </w:rPr>
        <w:t xml:space="preserve"> or contributes to developing pressure injuries</w:t>
      </w:r>
    </w:p>
    <w:p w14:paraId="6E91C8FB" w14:textId="50E8B4B1" w:rsidR="00822090" w:rsidRPr="00172FB8" w:rsidRDefault="00822090" w:rsidP="00EF7466">
      <w:pPr>
        <w:pStyle w:val="ListParagraph"/>
        <w:numPr>
          <w:ilvl w:val="3"/>
          <w:numId w:val="2"/>
        </w:numPr>
        <w:spacing w:line="240" w:lineRule="auto"/>
        <w:rPr>
          <w:rFonts w:ascii="Garamond" w:hAnsi="Garamond" w:cs="Times New Roman"/>
          <w:sz w:val="18"/>
          <w:szCs w:val="18"/>
        </w:rPr>
      </w:pPr>
      <w:r w:rsidRPr="00172FB8">
        <w:rPr>
          <w:rFonts w:ascii="Garamond" w:hAnsi="Garamond" w:cs="Times New Roman"/>
          <w:sz w:val="18"/>
          <w:szCs w:val="18"/>
        </w:rPr>
        <w:t>Additional workup is required prior to injury to ensure HO is not active</w:t>
      </w:r>
    </w:p>
    <w:p w14:paraId="536510D2" w14:textId="24C6A422" w:rsidR="003B7BAE" w:rsidRPr="00172FB8" w:rsidRDefault="003B7BAE" w:rsidP="00EF7466">
      <w:pPr>
        <w:spacing w:line="240" w:lineRule="auto"/>
        <w:rPr>
          <w:rFonts w:ascii="Garamond" w:hAnsi="Garamond" w:cs="Times New Roman"/>
          <w:b/>
          <w:bCs/>
          <w:color w:val="FF0000"/>
          <w:sz w:val="18"/>
          <w:szCs w:val="18"/>
        </w:rPr>
      </w:pPr>
      <w:r w:rsidRPr="00172FB8">
        <w:rPr>
          <w:rFonts w:ascii="Garamond" w:hAnsi="Garamond" w:cs="Times New Roman"/>
          <w:b/>
          <w:bCs/>
          <w:color w:val="FF0000"/>
          <w:sz w:val="18"/>
          <w:szCs w:val="18"/>
        </w:rPr>
        <w:t xml:space="preserve">Other </w:t>
      </w:r>
      <w:r w:rsidR="00DC2E54">
        <w:rPr>
          <w:rFonts w:ascii="Garamond" w:hAnsi="Garamond" w:cs="Times New Roman"/>
          <w:b/>
          <w:bCs/>
          <w:color w:val="FF0000"/>
          <w:sz w:val="18"/>
          <w:szCs w:val="18"/>
        </w:rPr>
        <w:t>C</w:t>
      </w:r>
      <w:r w:rsidRPr="00172FB8">
        <w:rPr>
          <w:rFonts w:ascii="Garamond" w:hAnsi="Garamond" w:cs="Times New Roman"/>
          <w:b/>
          <w:bCs/>
          <w:color w:val="FF0000"/>
          <w:sz w:val="18"/>
          <w:szCs w:val="18"/>
        </w:rPr>
        <w:t xml:space="preserve">ommon </w:t>
      </w:r>
      <w:r w:rsidR="00DC2E54">
        <w:rPr>
          <w:rFonts w:ascii="Garamond" w:hAnsi="Garamond" w:cs="Times New Roman"/>
          <w:b/>
          <w:bCs/>
          <w:color w:val="FF0000"/>
          <w:sz w:val="18"/>
          <w:szCs w:val="18"/>
        </w:rPr>
        <w:t>C</w:t>
      </w:r>
      <w:r w:rsidRPr="00172FB8">
        <w:rPr>
          <w:rFonts w:ascii="Garamond" w:hAnsi="Garamond" w:cs="Times New Roman"/>
          <w:b/>
          <w:bCs/>
          <w:color w:val="FF0000"/>
          <w:sz w:val="18"/>
          <w:szCs w:val="18"/>
        </w:rPr>
        <w:t>omplications</w:t>
      </w:r>
      <w:r w:rsidR="00DC2E54">
        <w:rPr>
          <w:rFonts w:ascii="Garamond" w:hAnsi="Garamond" w:cs="Times New Roman"/>
          <w:b/>
          <w:bCs/>
          <w:color w:val="FF0000"/>
          <w:sz w:val="18"/>
          <w:szCs w:val="18"/>
        </w:rPr>
        <w:t xml:space="preserve"> in SCI</w:t>
      </w:r>
    </w:p>
    <w:p w14:paraId="089525DE" w14:textId="7E5C162A" w:rsidR="003B7BAE" w:rsidRPr="007F5BF8" w:rsidRDefault="003B7BAE" w:rsidP="00EF7466">
      <w:pPr>
        <w:pStyle w:val="ListParagraph"/>
        <w:numPr>
          <w:ilvl w:val="0"/>
          <w:numId w:val="4"/>
        </w:numPr>
        <w:spacing w:line="240" w:lineRule="auto"/>
        <w:rPr>
          <w:rFonts w:ascii="Garamond" w:hAnsi="Garamond" w:cs="Times New Roman"/>
          <w:b/>
          <w:bCs/>
          <w:color w:val="00B050"/>
          <w:sz w:val="18"/>
          <w:szCs w:val="18"/>
        </w:rPr>
      </w:pPr>
      <w:r w:rsidRPr="007F5BF8">
        <w:rPr>
          <w:rFonts w:ascii="Garamond" w:hAnsi="Garamond" w:cs="Times New Roman"/>
          <w:b/>
          <w:bCs/>
          <w:color w:val="00B050"/>
          <w:sz w:val="18"/>
          <w:szCs w:val="18"/>
        </w:rPr>
        <w:t>Respiratory complication</w:t>
      </w:r>
    </w:p>
    <w:p w14:paraId="5CB93E88" w14:textId="347ACD1C" w:rsidR="003B7BAE" w:rsidRPr="008F4748" w:rsidRDefault="003B7BAE" w:rsidP="00EF7466">
      <w:pPr>
        <w:pStyle w:val="ListParagraph"/>
        <w:numPr>
          <w:ilvl w:val="1"/>
          <w:numId w:val="4"/>
        </w:numPr>
        <w:spacing w:line="240" w:lineRule="auto"/>
        <w:rPr>
          <w:rFonts w:ascii="Garamond" w:hAnsi="Garamond" w:cs="Times New Roman"/>
          <w:b/>
          <w:bCs/>
          <w:color w:val="0070C0"/>
          <w:sz w:val="18"/>
          <w:szCs w:val="18"/>
        </w:rPr>
      </w:pPr>
      <w:r w:rsidRPr="008F4748">
        <w:rPr>
          <w:rFonts w:ascii="Garamond" w:hAnsi="Garamond" w:cs="Times New Roman"/>
          <w:b/>
          <w:bCs/>
          <w:color w:val="0070C0"/>
          <w:sz w:val="18"/>
          <w:szCs w:val="18"/>
        </w:rPr>
        <w:t>Atelectasis – most common respiratory complication in</w:t>
      </w:r>
      <w:r w:rsidR="006A7948" w:rsidRPr="008F4748">
        <w:rPr>
          <w:rFonts w:ascii="Garamond" w:hAnsi="Garamond" w:cs="Times New Roman"/>
          <w:b/>
          <w:bCs/>
          <w:color w:val="0070C0"/>
          <w:sz w:val="18"/>
          <w:szCs w:val="18"/>
        </w:rPr>
        <w:t xml:space="preserve"> </w:t>
      </w:r>
      <w:r w:rsidRPr="008F4748">
        <w:rPr>
          <w:rFonts w:ascii="Garamond" w:hAnsi="Garamond" w:cs="Times New Roman"/>
          <w:b/>
          <w:bCs/>
          <w:color w:val="0070C0"/>
          <w:sz w:val="18"/>
          <w:szCs w:val="18"/>
        </w:rPr>
        <w:t>SCI</w:t>
      </w:r>
    </w:p>
    <w:p w14:paraId="5A33714A" w14:textId="3B145C62" w:rsidR="003B7BAE" w:rsidRPr="00172FB8" w:rsidRDefault="00172FB8" w:rsidP="00EF7466">
      <w:pPr>
        <w:pStyle w:val="ListParagraph"/>
        <w:numPr>
          <w:ilvl w:val="2"/>
          <w:numId w:val="4"/>
        </w:numPr>
        <w:spacing w:line="240" w:lineRule="auto"/>
        <w:rPr>
          <w:rFonts w:ascii="Garamond" w:hAnsi="Garamond" w:cs="Times New Roman"/>
          <w:sz w:val="18"/>
          <w:szCs w:val="18"/>
        </w:rPr>
      </w:pPr>
      <w:r w:rsidRPr="00172FB8">
        <w:rPr>
          <w:rFonts w:ascii="Garamond" w:hAnsi="Garamond" w:cs="Times New Roman"/>
          <w:sz w:val="18"/>
          <w:szCs w:val="18"/>
        </w:rPr>
        <w:t>significant</w:t>
      </w:r>
      <w:r w:rsidR="003B7BAE" w:rsidRPr="00172FB8">
        <w:rPr>
          <w:rFonts w:ascii="Garamond" w:hAnsi="Garamond" w:cs="Times New Roman"/>
          <w:sz w:val="18"/>
          <w:szCs w:val="18"/>
        </w:rPr>
        <w:t xml:space="preserve"> risk factor for developing pneumonia</w:t>
      </w:r>
    </w:p>
    <w:p w14:paraId="3C399C6A" w14:textId="38CB4EC5" w:rsidR="003B7BAE" w:rsidRPr="00172FB8" w:rsidRDefault="003B7BAE" w:rsidP="00EF7466">
      <w:pPr>
        <w:pStyle w:val="ListParagraph"/>
        <w:numPr>
          <w:ilvl w:val="1"/>
          <w:numId w:val="4"/>
        </w:numPr>
        <w:spacing w:line="240" w:lineRule="auto"/>
        <w:rPr>
          <w:rFonts w:ascii="Garamond" w:hAnsi="Garamond" w:cs="Times New Roman"/>
          <w:sz w:val="18"/>
          <w:szCs w:val="18"/>
        </w:rPr>
      </w:pPr>
      <w:r w:rsidRPr="00172FB8">
        <w:rPr>
          <w:rFonts w:ascii="Garamond" w:hAnsi="Garamond" w:cs="Times New Roman"/>
          <w:sz w:val="18"/>
          <w:szCs w:val="18"/>
        </w:rPr>
        <w:t>Pneumonia, atelectasis, and other respiratory complications are reported between 40-70% of patients with tetraplegia</w:t>
      </w:r>
    </w:p>
    <w:p w14:paraId="2C49400F" w14:textId="5391C23C" w:rsidR="006A7948" w:rsidRPr="008F4748" w:rsidRDefault="006A7948" w:rsidP="00EF7466">
      <w:pPr>
        <w:pStyle w:val="ListParagraph"/>
        <w:numPr>
          <w:ilvl w:val="1"/>
          <w:numId w:val="4"/>
        </w:numPr>
        <w:spacing w:line="240" w:lineRule="auto"/>
        <w:rPr>
          <w:rFonts w:ascii="Garamond" w:hAnsi="Garamond" w:cs="Times New Roman"/>
          <w:b/>
          <w:bCs/>
          <w:color w:val="0070C0"/>
          <w:sz w:val="18"/>
          <w:szCs w:val="18"/>
        </w:rPr>
      </w:pPr>
      <w:r w:rsidRPr="008F4748">
        <w:rPr>
          <w:rFonts w:ascii="Garamond" w:hAnsi="Garamond" w:cs="Times New Roman"/>
          <w:b/>
          <w:bCs/>
          <w:color w:val="0070C0"/>
          <w:sz w:val="18"/>
          <w:szCs w:val="18"/>
        </w:rPr>
        <w:t xml:space="preserve">Pneumonia – </w:t>
      </w:r>
      <w:r w:rsidR="00DC2E54" w:rsidRPr="008F4748">
        <w:rPr>
          <w:rFonts w:ascii="Garamond" w:hAnsi="Garamond" w:cs="Times New Roman"/>
          <w:b/>
          <w:bCs/>
          <w:color w:val="0070C0"/>
          <w:sz w:val="18"/>
          <w:szCs w:val="18"/>
        </w:rPr>
        <w:t xml:space="preserve">the </w:t>
      </w:r>
      <w:r w:rsidRPr="008F4748">
        <w:rPr>
          <w:rFonts w:ascii="Garamond" w:hAnsi="Garamond" w:cs="Times New Roman"/>
          <w:b/>
          <w:bCs/>
          <w:color w:val="0070C0"/>
          <w:sz w:val="18"/>
          <w:szCs w:val="18"/>
        </w:rPr>
        <w:t>leading cause of death in chronic SCI</w:t>
      </w:r>
    </w:p>
    <w:p w14:paraId="46F60AD7" w14:textId="3D94CDE6" w:rsidR="006A7948" w:rsidRPr="007F5BF8" w:rsidRDefault="006A7948" w:rsidP="00EF7466">
      <w:pPr>
        <w:pStyle w:val="ListParagraph"/>
        <w:numPr>
          <w:ilvl w:val="0"/>
          <w:numId w:val="4"/>
        </w:numPr>
        <w:spacing w:line="240" w:lineRule="auto"/>
        <w:rPr>
          <w:rFonts w:ascii="Garamond" w:hAnsi="Garamond" w:cs="Times New Roman"/>
          <w:b/>
          <w:bCs/>
          <w:color w:val="00B050"/>
          <w:sz w:val="18"/>
          <w:szCs w:val="18"/>
        </w:rPr>
      </w:pPr>
      <w:r w:rsidRPr="007F5BF8">
        <w:rPr>
          <w:rFonts w:ascii="Garamond" w:hAnsi="Garamond" w:cs="Times New Roman"/>
          <w:b/>
          <w:bCs/>
          <w:color w:val="00B050"/>
          <w:sz w:val="18"/>
          <w:szCs w:val="18"/>
        </w:rPr>
        <w:t>Cardiometabolic disease</w:t>
      </w:r>
    </w:p>
    <w:p w14:paraId="044B8CA8" w14:textId="300F6987" w:rsidR="006A7948" w:rsidRPr="00172FB8" w:rsidRDefault="006A7948" w:rsidP="00EF7466">
      <w:pPr>
        <w:pStyle w:val="ListParagraph"/>
        <w:numPr>
          <w:ilvl w:val="1"/>
          <w:numId w:val="4"/>
        </w:numPr>
        <w:spacing w:line="240" w:lineRule="auto"/>
        <w:rPr>
          <w:rFonts w:ascii="Garamond" w:hAnsi="Garamond" w:cs="Times New Roman"/>
          <w:sz w:val="18"/>
          <w:szCs w:val="18"/>
        </w:rPr>
      </w:pPr>
      <w:r w:rsidRPr="00172FB8">
        <w:rPr>
          <w:rFonts w:ascii="Garamond" w:hAnsi="Garamond" w:cs="Times New Roman"/>
          <w:sz w:val="18"/>
          <w:szCs w:val="18"/>
        </w:rPr>
        <w:t>Risk factors:</w:t>
      </w:r>
    </w:p>
    <w:p w14:paraId="4E263A2F" w14:textId="1A6F9BD7" w:rsidR="006A7948" w:rsidRPr="00172FB8" w:rsidRDefault="006A7948" w:rsidP="00EF7466">
      <w:pPr>
        <w:pStyle w:val="ListParagraph"/>
        <w:numPr>
          <w:ilvl w:val="2"/>
          <w:numId w:val="4"/>
        </w:numPr>
        <w:spacing w:line="240" w:lineRule="auto"/>
        <w:rPr>
          <w:rFonts w:ascii="Garamond" w:hAnsi="Garamond" w:cs="Times New Roman"/>
          <w:sz w:val="18"/>
          <w:szCs w:val="18"/>
        </w:rPr>
      </w:pPr>
      <w:r w:rsidRPr="00172FB8">
        <w:rPr>
          <w:rFonts w:ascii="Garamond" w:hAnsi="Garamond" w:cs="Times New Roman"/>
          <w:sz w:val="18"/>
          <w:szCs w:val="18"/>
        </w:rPr>
        <w:t>Age at onset of SCI, duration of SCI, health status pre-injury, family history, ethnicity, heritage, and veteran status</w:t>
      </w:r>
    </w:p>
    <w:p w14:paraId="75544A89" w14:textId="1728E45C" w:rsidR="006A7948" w:rsidRPr="00172FB8" w:rsidRDefault="006A7948" w:rsidP="00EF7466">
      <w:pPr>
        <w:pStyle w:val="ListParagraph"/>
        <w:numPr>
          <w:ilvl w:val="2"/>
          <w:numId w:val="4"/>
        </w:numPr>
        <w:spacing w:line="240" w:lineRule="auto"/>
        <w:rPr>
          <w:rFonts w:ascii="Garamond" w:hAnsi="Garamond" w:cs="Times New Roman"/>
          <w:sz w:val="18"/>
          <w:szCs w:val="18"/>
        </w:rPr>
      </w:pPr>
      <w:r w:rsidRPr="00172FB8">
        <w:rPr>
          <w:rFonts w:ascii="Garamond" w:hAnsi="Garamond" w:cs="Times New Roman"/>
          <w:sz w:val="18"/>
          <w:szCs w:val="18"/>
        </w:rPr>
        <w:t>Obesity, insulin resistance, dyslipidemia</w:t>
      </w:r>
    </w:p>
    <w:p w14:paraId="18CF22E5" w14:textId="2A91C0FC" w:rsidR="006A7948" w:rsidRPr="00172FB8" w:rsidRDefault="006A7948" w:rsidP="00EF7466">
      <w:pPr>
        <w:pStyle w:val="ListParagraph"/>
        <w:numPr>
          <w:ilvl w:val="3"/>
          <w:numId w:val="4"/>
        </w:numPr>
        <w:spacing w:line="240" w:lineRule="auto"/>
        <w:rPr>
          <w:rFonts w:ascii="Garamond" w:hAnsi="Garamond" w:cs="Times New Roman"/>
          <w:sz w:val="18"/>
          <w:szCs w:val="18"/>
        </w:rPr>
      </w:pPr>
      <w:r w:rsidRPr="00172FB8">
        <w:rPr>
          <w:rFonts w:ascii="Garamond" w:hAnsi="Garamond" w:cs="Times New Roman"/>
          <w:sz w:val="18"/>
          <w:szCs w:val="18"/>
        </w:rPr>
        <w:t xml:space="preserve">Men with SCI </w:t>
      </w:r>
      <w:r w:rsidR="00886017">
        <w:rPr>
          <w:rFonts w:ascii="Garamond" w:hAnsi="Garamond" w:cs="Times New Roman"/>
          <w:sz w:val="18"/>
          <w:szCs w:val="18"/>
        </w:rPr>
        <w:t xml:space="preserve">who have </w:t>
      </w:r>
      <w:r w:rsidRPr="00C23637">
        <w:rPr>
          <w:rFonts w:ascii="Garamond" w:hAnsi="Garamond" w:cs="Times New Roman"/>
          <w:sz w:val="18"/>
          <w:szCs w:val="18"/>
        </w:rPr>
        <w:t>&gt; 22% body fat</w:t>
      </w:r>
      <w:r w:rsidR="00886017">
        <w:rPr>
          <w:rFonts w:ascii="Garamond" w:hAnsi="Garamond" w:cs="Times New Roman"/>
          <w:sz w:val="18"/>
          <w:szCs w:val="18"/>
        </w:rPr>
        <w:t>,</w:t>
      </w:r>
      <w:r w:rsidRPr="00172FB8">
        <w:rPr>
          <w:rFonts w:ascii="Garamond" w:hAnsi="Garamond" w:cs="Times New Roman"/>
          <w:sz w:val="18"/>
          <w:szCs w:val="18"/>
        </w:rPr>
        <w:t xml:space="preserve"> and women with SCI </w:t>
      </w:r>
      <w:r w:rsidR="00886017">
        <w:rPr>
          <w:rFonts w:ascii="Garamond" w:hAnsi="Garamond" w:cs="Times New Roman"/>
          <w:sz w:val="18"/>
          <w:szCs w:val="18"/>
        </w:rPr>
        <w:t>who have</w:t>
      </w:r>
      <w:r w:rsidR="0071230C">
        <w:rPr>
          <w:rFonts w:ascii="Garamond" w:hAnsi="Garamond" w:cs="Times New Roman"/>
          <w:sz w:val="18"/>
          <w:szCs w:val="18"/>
        </w:rPr>
        <w:t xml:space="preserve"> </w:t>
      </w:r>
      <w:r w:rsidRPr="00172FB8">
        <w:rPr>
          <w:rFonts w:ascii="Garamond" w:hAnsi="Garamond" w:cs="Times New Roman"/>
          <w:sz w:val="18"/>
          <w:szCs w:val="18"/>
        </w:rPr>
        <w:t xml:space="preserve">&gt; </w:t>
      </w:r>
      <w:r w:rsidRPr="00C23637">
        <w:rPr>
          <w:rFonts w:ascii="Garamond" w:hAnsi="Garamond" w:cs="Times New Roman"/>
          <w:sz w:val="18"/>
          <w:szCs w:val="18"/>
        </w:rPr>
        <w:t>35% body fat</w:t>
      </w:r>
      <w:r w:rsidRPr="00172FB8">
        <w:rPr>
          <w:rFonts w:ascii="Garamond" w:hAnsi="Garamond" w:cs="Times New Roman"/>
          <w:sz w:val="18"/>
          <w:szCs w:val="18"/>
        </w:rPr>
        <w:t xml:space="preserve"> are considered obese</w:t>
      </w:r>
    </w:p>
    <w:p w14:paraId="14653132" w14:textId="00D1F997" w:rsidR="006A7948" w:rsidRPr="00172FB8" w:rsidRDefault="006A7948" w:rsidP="00EF7466">
      <w:pPr>
        <w:pStyle w:val="ListParagraph"/>
        <w:numPr>
          <w:ilvl w:val="2"/>
          <w:numId w:val="4"/>
        </w:numPr>
        <w:spacing w:line="240" w:lineRule="auto"/>
        <w:rPr>
          <w:rFonts w:ascii="Garamond" w:hAnsi="Garamond" w:cs="Times New Roman"/>
          <w:sz w:val="18"/>
          <w:szCs w:val="18"/>
        </w:rPr>
      </w:pPr>
      <w:r w:rsidRPr="00172FB8">
        <w:rPr>
          <w:rFonts w:ascii="Garamond" w:hAnsi="Garamond" w:cs="Times New Roman"/>
          <w:sz w:val="18"/>
          <w:szCs w:val="18"/>
        </w:rPr>
        <w:t xml:space="preserve">Individuals with SCI have </w:t>
      </w:r>
      <w:r w:rsidR="00172FB8" w:rsidRPr="00172FB8">
        <w:rPr>
          <w:rFonts w:ascii="Garamond" w:hAnsi="Garamond" w:cs="Times New Roman"/>
          <w:sz w:val="18"/>
          <w:szCs w:val="18"/>
        </w:rPr>
        <w:t xml:space="preserve">the </w:t>
      </w:r>
      <w:r w:rsidRPr="008F4748">
        <w:rPr>
          <w:rFonts w:ascii="Garamond" w:hAnsi="Garamond" w:cs="Times New Roman"/>
          <w:b/>
          <w:bCs/>
          <w:color w:val="0070C0"/>
          <w:sz w:val="18"/>
          <w:szCs w:val="18"/>
        </w:rPr>
        <w:t xml:space="preserve">same or </w:t>
      </w:r>
      <w:r w:rsidR="00886017">
        <w:rPr>
          <w:rFonts w:ascii="Garamond" w:hAnsi="Garamond" w:cs="Times New Roman"/>
          <w:b/>
          <w:bCs/>
          <w:color w:val="0070C0"/>
          <w:sz w:val="18"/>
          <w:szCs w:val="18"/>
        </w:rPr>
        <w:t xml:space="preserve">a </w:t>
      </w:r>
      <w:r w:rsidRPr="008F4748">
        <w:rPr>
          <w:rFonts w:ascii="Garamond" w:hAnsi="Garamond" w:cs="Times New Roman"/>
          <w:b/>
          <w:bCs/>
          <w:color w:val="0070C0"/>
          <w:sz w:val="18"/>
          <w:szCs w:val="18"/>
        </w:rPr>
        <w:t>greater degree of risk for cardiometabolic disease</w:t>
      </w:r>
      <w:r w:rsidRPr="008F4748">
        <w:rPr>
          <w:rFonts w:ascii="Garamond" w:hAnsi="Garamond" w:cs="Times New Roman"/>
          <w:color w:val="0070C0"/>
          <w:sz w:val="18"/>
          <w:szCs w:val="18"/>
        </w:rPr>
        <w:t xml:space="preserve"> </w:t>
      </w:r>
      <w:r w:rsidRPr="00172FB8">
        <w:rPr>
          <w:rFonts w:ascii="Garamond" w:hAnsi="Garamond" w:cs="Times New Roman"/>
          <w:sz w:val="18"/>
          <w:szCs w:val="18"/>
        </w:rPr>
        <w:t>compared to non</w:t>
      </w:r>
      <w:r w:rsidR="0071230C">
        <w:rPr>
          <w:rFonts w:ascii="Garamond" w:hAnsi="Garamond" w:cs="Times New Roman"/>
          <w:sz w:val="18"/>
          <w:szCs w:val="18"/>
        </w:rPr>
        <w:t>-SCI patients</w:t>
      </w:r>
    </w:p>
    <w:p w14:paraId="0D14145B" w14:textId="64EAAAFA" w:rsidR="000B0745" w:rsidRPr="00172FB8" w:rsidRDefault="000B0745" w:rsidP="00EF7466">
      <w:pPr>
        <w:pStyle w:val="ListParagraph"/>
        <w:spacing w:line="240" w:lineRule="auto"/>
        <w:ind w:left="2160"/>
        <w:rPr>
          <w:rFonts w:ascii="Times New Roman" w:hAnsi="Times New Roman" w:cs="Times New Roman"/>
          <w:sz w:val="18"/>
          <w:szCs w:val="18"/>
        </w:rPr>
      </w:pPr>
    </w:p>
    <w:sectPr w:rsidR="000B0745" w:rsidRPr="00172FB8" w:rsidSect="00172FB8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D5249" w14:textId="77777777" w:rsidR="00AB3B4B" w:rsidRDefault="00AB3B4B" w:rsidP="00FD2A36">
      <w:pPr>
        <w:spacing w:after="0" w:line="240" w:lineRule="auto"/>
      </w:pPr>
      <w:r>
        <w:separator/>
      </w:r>
    </w:p>
  </w:endnote>
  <w:endnote w:type="continuationSeparator" w:id="0">
    <w:p w14:paraId="084CFA67" w14:textId="77777777" w:rsidR="00AB3B4B" w:rsidRDefault="00AB3B4B" w:rsidP="00FD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36626" w14:textId="2EAB64D5" w:rsidR="005034F9" w:rsidRPr="00F83F9F" w:rsidRDefault="005034F9" w:rsidP="005034F9">
    <w:pPr>
      <w:pStyle w:val="Footer"/>
      <w:rPr>
        <w:rFonts w:ascii="Garamond" w:hAnsi="Garamond"/>
      </w:rPr>
    </w:pPr>
    <w:r w:rsidRPr="00F83F9F">
      <w:rPr>
        <w:rFonts w:ascii="Garamond" w:hAnsi="Garamond"/>
      </w:rPr>
      <w:t>Yeh T</w:t>
    </w:r>
    <w:r w:rsidR="000832B1">
      <w:rPr>
        <w:rFonts w:ascii="Garamond" w:hAnsi="Garamond"/>
      </w:rPr>
      <w:t>, Conic R</w:t>
    </w:r>
    <w:r w:rsidR="00F11F5F">
      <w:rPr>
        <w:rFonts w:ascii="Garamond" w:hAnsi="Garamond"/>
      </w:rPr>
      <w:t>.</w:t>
    </w:r>
    <w:r w:rsidRPr="00F83F9F">
      <w:rPr>
        <w:rFonts w:ascii="Garamond" w:hAnsi="Garamond"/>
      </w:rPr>
      <w:t xml:space="preserve"> “SCI, </w:t>
    </w:r>
    <w:r>
      <w:rPr>
        <w:rFonts w:ascii="Garamond" w:hAnsi="Garamond"/>
      </w:rPr>
      <w:t>Common Complications”</w:t>
    </w:r>
    <w:r w:rsidRPr="00F83F9F">
      <w:rPr>
        <w:rFonts w:ascii="Garamond" w:hAnsi="Garamond"/>
      </w:rPr>
      <w:t xml:space="preserve"> AAP Board Review Series - Summary Notes. Association of Academic Physiatrists. September 2022. https://www.physiatry.org/page/BRSNotes</w:t>
    </w:r>
  </w:p>
  <w:p w14:paraId="1919FDBD" w14:textId="77777777" w:rsidR="005034F9" w:rsidRDefault="00503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64597" w14:textId="77777777" w:rsidR="00AB3B4B" w:rsidRDefault="00AB3B4B" w:rsidP="00FD2A36">
      <w:pPr>
        <w:spacing w:after="0" w:line="240" w:lineRule="auto"/>
      </w:pPr>
      <w:r>
        <w:separator/>
      </w:r>
    </w:p>
  </w:footnote>
  <w:footnote w:type="continuationSeparator" w:id="0">
    <w:p w14:paraId="67B6A124" w14:textId="77777777" w:rsidR="00AB3B4B" w:rsidRDefault="00AB3B4B" w:rsidP="00FD2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C9F53" w14:textId="77777777" w:rsidR="00F11F5F" w:rsidRDefault="00F11F5F" w:rsidP="00F11F5F">
    <w:pPr>
      <w:spacing w:after="0" w:line="240" w:lineRule="auto"/>
      <w:jc w:val="right"/>
      <w:rPr>
        <w:rFonts w:ascii="Century Schoolbook" w:hAnsi="Century Schoolbook" w:cs="Times New Roman"/>
        <w:b/>
        <w:bCs/>
        <w:sz w:val="20"/>
        <w:szCs w:val="20"/>
      </w:rPr>
    </w:pPr>
    <w:bookmarkStart w:id="1" w:name="_Hlk141013940"/>
    <w:r w:rsidRPr="00F824F7">
      <w:rPr>
        <w:rFonts w:ascii="Century Schoolbook" w:hAnsi="Century Schoolbook" w:cs="Times New Roman"/>
        <w:b/>
        <w:bCs/>
        <w:sz w:val="20"/>
        <w:szCs w:val="20"/>
      </w:rPr>
      <w:t>Tsan-Chen Yeh, MD</w:t>
    </w:r>
  </w:p>
  <w:p w14:paraId="7DD91861" w14:textId="77777777" w:rsidR="00F11F5F" w:rsidRPr="001A1421" w:rsidRDefault="00F11F5F" w:rsidP="00F11F5F">
    <w:pPr>
      <w:spacing w:after="0" w:line="240" w:lineRule="auto"/>
      <w:jc w:val="right"/>
      <w:rPr>
        <w:rFonts w:ascii="Century Schoolbook" w:hAnsi="Century Schoolbook" w:cs="Times New Roman"/>
        <w:b/>
        <w:bCs/>
        <w:sz w:val="20"/>
        <w:szCs w:val="20"/>
      </w:rPr>
    </w:pPr>
    <w:r w:rsidRPr="001A1421">
      <w:rPr>
        <w:rFonts w:ascii="Century Schoolbook" w:hAnsi="Century Schoolbook" w:cs="Times New Roman"/>
        <w:b/>
        <w:bCs/>
        <w:sz w:val="20"/>
        <w:szCs w:val="20"/>
      </w:rPr>
      <w:t>Rosalynn R Z Conic, MD, PhD, MPH</w:t>
    </w:r>
  </w:p>
  <w:bookmarkEnd w:id="1"/>
  <w:p w14:paraId="6A653FD4" w14:textId="4FEE4F7D" w:rsidR="00F11F5F" w:rsidRDefault="00DE5D88" w:rsidP="00F11F5F">
    <w:pPr>
      <w:pStyle w:val="Header"/>
      <w:jc w:val="right"/>
      <w:rPr>
        <w:rFonts w:ascii="Century Schoolbook" w:hAnsi="Century Schoolbook" w:cs="Times New Roman"/>
        <w:b/>
        <w:bCs/>
        <w:i/>
        <w:iCs/>
        <w:sz w:val="20"/>
        <w:szCs w:val="20"/>
      </w:rPr>
    </w:pPr>
    <w:r>
      <w:rPr>
        <w:rFonts w:ascii="Century Schoolbook" w:hAnsi="Century Schoolbook" w:cs="Times New Roman"/>
        <w:b/>
        <w:bCs/>
        <w:i/>
        <w:iCs/>
        <w:sz w:val="20"/>
        <w:szCs w:val="20"/>
      </w:rPr>
      <w:t>August</w:t>
    </w:r>
    <w:r w:rsidR="00F11F5F" w:rsidRPr="00F824F7">
      <w:rPr>
        <w:rFonts w:ascii="Century Schoolbook" w:hAnsi="Century Schoolbook" w:cs="Times New Roman"/>
        <w:b/>
        <w:bCs/>
        <w:i/>
        <w:iCs/>
        <w:sz w:val="20"/>
        <w:szCs w:val="20"/>
      </w:rPr>
      <w:t xml:space="preserve"> 2023</w:t>
    </w:r>
  </w:p>
  <w:p w14:paraId="45F38445" w14:textId="77777777" w:rsidR="00F11F5F" w:rsidRPr="00F11F5F" w:rsidRDefault="00F11F5F" w:rsidP="00F11F5F">
    <w:pPr>
      <w:pStyle w:val="Header"/>
      <w:jc w:val="right"/>
      <w:rPr>
        <w:rFonts w:ascii="Century Schoolbook" w:hAnsi="Century Schoolbook"/>
        <w:b/>
        <w:bCs/>
      </w:rPr>
    </w:pPr>
  </w:p>
  <w:p w14:paraId="2F3A5F90" w14:textId="7F9F652C" w:rsidR="00FD2A36" w:rsidRPr="00F11F5F" w:rsidRDefault="00DE5D88" w:rsidP="00FD2A36">
    <w:pPr>
      <w:jc w:val="center"/>
      <w:rPr>
        <w:rFonts w:ascii="Century Schoolbook" w:hAnsi="Century Schoolbook" w:cs="Times New Roman"/>
        <w:b/>
        <w:bCs/>
        <w:sz w:val="28"/>
        <w:szCs w:val="28"/>
      </w:rPr>
    </w:pPr>
    <w:r w:rsidRPr="00DE5D88">
      <w:rPr>
        <w:rFonts w:ascii="Century Schoolbook" w:hAnsi="Century Schoolbook" w:cs="Times New Roman"/>
        <w:b/>
        <w:bCs/>
        <w:sz w:val="28"/>
        <w:szCs w:val="28"/>
      </w:rPr>
      <w:t xml:space="preserve">AAP BRS Podcast: </w:t>
    </w:r>
    <w:r>
      <w:rPr>
        <w:rFonts w:ascii="Century Schoolbook" w:hAnsi="Century Schoolbook" w:cs="Times New Roman"/>
        <w:b/>
        <w:bCs/>
        <w:sz w:val="28"/>
        <w:szCs w:val="28"/>
      </w:rPr>
      <w:t xml:space="preserve"> </w:t>
    </w:r>
    <w:r w:rsidR="002D07B7">
      <w:rPr>
        <w:rFonts w:ascii="Century Schoolbook" w:hAnsi="Century Schoolbook" w:cs="Times New Roman"/>
        <w:bCs/>
        <w:sz w:val="28"/>
        <w:szCs w:val="28"/>
      </w:rPr>
      <w:t>SCI Part 3</w:t>
    </w:r>
    <w:r w:rsidR="00FD2A36" w:rsidRPr="00DE5D88">
      <w:rPr>
        <w:rFonts w:ascii="Century Schoolbook" w:hAnsi="Century Schoolbook" w:cs="Times New Roman"/>
        <w:bCs/>
        <w:sz w:val="28"/>
        <w:szCs w:val="28"/>
      </w:rPr>
      <w:t xml:space="preserve"> – Common Complications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77E0"/>
    <w:multiLevelType w:val="hybridMultilevel"/>
    <w:tmpl w:val="369E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52523"/>
    <w:multiLevelType w:val="hybridMultilevel"/>
    <w:tmpl w:val="2AFC6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7815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77CFC"/>
    <w:multiLevelType w:val="hybridMultilevel"/>
    <w:tmpl w:val="669CE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B77E4"/>
    <w:multiLevelType w:val="hybridMultilevel"/>
    <w:tmpl w:val="927A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D4"/>
    <w:rsid w:val="00036E9D"/>
    <w:rsid w:val="000832B1"/>
    <w:rsid w:val="000B0745"/>
    <w:rsid w:val="00172FB8"/>
    <w:rsid w:val="002A00A6"/>
    <w:rsid w:val="002B48C8"/>
    <w:rsid w:val="002D07B7"/>
    <w:rsid w:val="00395D97"/>
    <w:rsid w:val="003B7BAE"/>
    <w:rsid w:val="003C1396"/>
    <w:rsid w:val="003D0FB8"/>
    <w:rsid w:val="00407EE7"/>
    <w:rsid w:val="005034F9"/>
    <w:rsid w:val="0052562E"/>
    <w:rsid w:val="00595945"/>
    <w:rsid w:val="00600928"/>
    <w:rsid w:val="006142D4"/>
    <w:rsid w:val="00641B0A"/>
    <w:rsid w:val="006A7948"/>
    <w:rsid w:val="006E2C8A"/>
    <w:rsid w:val="0071230C"/>
    <w:rsid w:val="00763AEE"/>
    <w:rsid w:val="007F5BF8"/>
    <w:rsid w:val="00807CC6"/>
    <w:rsid w:val="00822090"/>
    <w:rsid w:val="00886017"/>
    <w:rsid w:val="008F4748"/>
    <w:rsid w:val="008F6223"/>
    <w:rsid w:val="00AA2DC7"/>
    <w:rsid w:val="00AB3B4B"/>
    <w:rsid w:val="00B269E2"/>
    <w:rsid w:val="00C23637"/>
    <w:rsid w:val="00CB2E7D"/>
    <w:rsid w:val="00CD0D13"/>
    <w:rsid w:val="00CE4F2C"/>
    <w:rsid w:val="00DC2E54"/>
    <w:rsid w:val="00DE5D88"/>
    <w:rsid w:val="00EF7466"/>
    <w:rsid w:val="00F11F5F"/>
    <w:rsid w:val="00FB7243"/>
    <w:rsid w:val="00FD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CEF02"/>
  <w15:chartTrackingRefBased/>
  <w15:docId w15:val="{58F24F98-39C4-47A2-8C9D-3DC78CE5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8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A36"/>
  </w:style>
  <w:style w:type="paragraph" w:styleId="Footer">
    <w:name w:val="footer"/>
    <w:basedOn w:val="Normal"/>
    <w:link w:val="FooterChar"/>
    <w:uiPriority w:val="99"/>
    <w:unhideWhenUsed/>
    <w:rsid w:val="00FD2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63C02-F2E0-4759-A9E1-10EA65A3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Tsan-Chen Yeh</dc:creator>
  <cp:keywords/>
  <dc:description/>
  <cp:lastModifiedBy>EP-UU12-3117-W9</cp:lastModifiedBy>
  <cp:revision>7</cp:revision>
  <dcterms:created xsi:type="dcterms:W3CDTF">2023-08-02T01:11:00Z</dcterms:created>
  <dcterms:modified xsi:type="dcterms:W3CDTF">2023-08-18T16:14:00Z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3db08997-c557-401b-bccd-4e3be687129f</vt:lpwstr>
  </property>
</Properties>
</file>